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304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3047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Yu Hongjian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20" w:type="dxa"/>
            <w:vAlign w:val="bottom"/>
            <w:tcBorders>
              <w:top w:val="single" w:sz="8" w:color="0000EE"/>
              <w:bottom w:val="single" w:sz="8" w:color="9A9A9A"/>
            </w:tcBorders>
          </w:tcPr>
          <w:p>
            <w:pPr>
              <w:spacing w:after="0"/>
              <w:rPr>
                <w:sz w:val="17"/>
                <w:szCs w:val="17"/>
                <w:color w:val="auto"/>
              </w:rPr>
            </w:pPr>
          </w:p>
        </w:tc>
        <w:tc>
          <w:tcPr>
            <w:tcW w:w="18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BingEx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FLX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NO.1 YONGTAIZHUANG NORTH ROAD,</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HAIDIAN DISTRICT</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   F4</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100192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Executive 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20" w:type="dxa"/>
            <w:vAlign w:val="bottom"/>
          </w:tcPr>
          <w:p>
            <w:pPr>
              <w:jc w:val="center"/>
              <w:ind w:left="54"/>
              <w:spacing w:after="0"/>
              <w:rPr>
                <w:sz w:val="20"/>
                <w:szCs w:val="20"/>
                <w:color w:val="auto"/>
              </w:rPr>
            </w:pPr>
            <w:r>
              <w:rPr>
                <w:rFonts w:ascii="Times New Roman" w:cs="Times New Roman" w:eastAsia="Times New Roman" w:hAnsi="Times New Roman"/>
                <w:sz w:val="20"/>
                <w:szCs w:val="20"/>
                <w:color w:val="0000FF"/>
                <w:w w:val="97"/>
              </w:rPr>
              <w:t>3,152,991</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0000FF"/>
              </w:rPr>
              <w:t>I</w:t>
            </w:r>
          </w:p>
        </w:tc>
        <w:tc>
          <w:tcPr>
            <w:tcW w:w="3340" w:type="dxa"/>
            <w:vAlign w:val="bottom"/>
            <w:gridSpan w:val="4"/>
          </w:tcPr>
          <w:p>
            <w:pPr>
              <w:ind w:left="560"/>
              <w:spacing w:after="0"/>
              <w:rPr>
                <w:sz w:val="20"/>
                <w:szCs w:val="20"/>
                <w:color w:val="auto"/>
              </w:rPr>
            </w:pPr>
            <w:r>
              <w:rPr>
                <w:rFonts w:ascii="Times New Roman" w:cs="Times New Roman" w:eastAsia="Times New Roman" w:hAnsi="Times New Roman"/>
                <w:sz w:val="20"/>
                <w:szCs w:val="20"/>
                <w:color w:val="0000FF"/>
              </w:rPr>
              <w:t>By Y&amp;X Changan Limited</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r>
              <w:rPr>
                <w:rFonts w:ascii="Times New Roman" w:cs="Times New Roman" w:eastAsia="Times New Roman" w:hAnsi="Times New Roman"/>
                <w:sz w:val="25"/>
                <w:szCs w:val="25"/>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left="54"/>
              <w:spacing w:after="0"/>
              <w:rPr>
                <w:sz w:val="20"/>
                <w:szCs w:val="20"/>
                <w:color w:val="auto"/>
              </w:rPr>
            </w:pPr>
            <w:r>
              <w:rPr>
                <w:rFonts w:ascii="Times New Roman" w:cs="Times New Roman" w:eastAsia="Times New Roman" w:hAnsi="Times New Roman"/>
                <w:sz w:val="20"/>
                <w:szCs w:val="20"/>
                <w:color w:val="0000FF"/>
                <w:w w:val="97"/>
              </w:rPr>
              <w:t>1,499,931</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6"/>
          </w:tcPr>
          <w:p>
            <w:pPr>
              <w:ind w:left="1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8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6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6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500,000</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Acquired upon vesting of restricted share units.</w:t>
      </w:r>
    </w:p>
    <w:p>
      <w:pPr>
        <w:spacing w:after="0" w:line="52" w:lineRule="exact"/>
        <w:rPr>
          <w:rFonts w:ascii="Times New Roman" w:cs="Times New Roman" w:eastAsia="Times New Roman" w:hAnsi="Times New Roman"/>
          <w:sz w:val="15"/>
          <w:szCs w:val="15"/>
          <w:color w:val="008000"/>
        </w:rPr>
      </w:pPr>
    </w:p>
    <w:p>
      <w:pPr>
        <w:ind w:left="40" w:right="3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shares units were granted on June 14, 2021. The remaining 500,000 restricted share units vest on January 3, 2026, April 3, 2026, July 3, 2026 and October 3, 2026 in equal installments.</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restricted share unit represents the contingent right to receive one Class A ordinary share.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Hongjian Yu</w:t>
            </w:r>
          </w:p>
        </w:tc>
        <w:tc>
          <w:tcPr>
            <w:tcW w:w="96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6026" TargetMode="External"/><Relationship Id="rId11" Type="http://schemas.openxmlformats.org/officeDocument/2006/relationships/hyperlink" Target="http://www.sec.gov/cgi-bin/browse-edgar?action=getcompany&amp;CIK=00018587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2026-03-18T06:29:15Z</dcterms:created>
  <dcterms:modified xsi:type="dcterms:W3CDTF">2026-03-18T06:29:15Z</dcterms:modified>
</cp:coreProperties>
</file>